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289" w:type="dxa"/>
        <w:tblLook w:val="04A0" w:firstRow="1" w:lastRow="0" w:firstColumn="1" w:lastColumn="0" w:noHBand="0" w:noVBand="1"/>
      </w:tblPr>
      <w:tblGrid>
        <w:gridCol w:w="3119"/>
        <w:gridCol w:w="6946"/>
      </w:tblGrid>
      <w:tr w:rsidR="007C4977" w:rsidTr="00550953">
        <w:tc>
          <w:tcPr>
            <w:tcW w:w="3119" w:type="dxa"/>
            <w:vAlign w:val="center"/>
          </w:tcPr>
          <w:p w:rsidR="007C4977" w:rsidRPr="00550953" w:rsidRDefault="007C4977" w:rsidP="00550953">
            <w:pPr>
              <w:jc w:val="center"/>
              <w:rPr>
                <w:rFonts w:ascii="Arial" w:hAnsi="Arial" w:cs="Arial"/>
                <w:b/>
                <w:sz w:val="24"/>
                <w:szCs w:val="24"/>
              </w:rPr>
            </w:pPr>
            <w:bookmarkStart w:id="0" w:name="_GoBack" w:colFirst="0" w:colLast="2"/>
            <w:r w:rsidRPr="00550953">
              <w:rPr>
                <w:rFonts w:ascii="Arial" w:hAnsi="Arial" w:cs="Arial"/>
                <w:b/>
                <w:sz w:val="24"/>
                <w:szCs w:val="24"/>
              </w:rPr>
              <w:t>Locations</w:t>
            </w:r>
          </w:p>
        </w:tc>
        <w:tc>
          <w:tcPr>
            <w:tcW w:w="6946" w:type="dxa"/>
          </w:tcPr>
          <w:p w:rsidR="007C4977" w:rsidRPr="0094227F" w:rsidRDefault="007C4977">
            <w:pPr>
              <w:rPr>
                <w:rFonts w:ascii="Arial" w:hAnsi="Arial" w:cs="Arial"/>
                <w:sz w:val="24"/>
                <w:szCs w:val="24"/>
              </w:rPr>
            </w:pPr>
            <w:r w:rsidRPr="0094227F">
              <w:rPr>
                <w:rFonts w:ascii="Arial" w:hAnsi="Arial" w:cs="Arial"/>
                <w:sz w:val="24"/>
                <w:szCs w:val="24"/>
              </w:rPr>
              <w:t>Staff operate from 2 main offices</w:t>
            </w:r>
          </w:p>
          <w:p w:rsidR="007C4977" w:rsidRPr="0094227F" w:rsidRDefault="007C4977" w:rsidP="007C4977">
            <w:pPr>
              <w:pStyle w:val="ListParagraph"/>
              <w:numPr>
                <w:ilvl w:val="0"/>
                <w:numId w:val="1"/>
              </w:numPr>
              <w:rPr>
                <w:rFonts w:ascii="Arial" w:hAnsi="Arial" w:cs="Arial"/>
                <w:sz w:val="24"/>
                <w:szCs w:val="24"/>
              </w:rPr>
            </w:pPr>
            <w:r w:rsidRPr="0094227F">
              <w:rPr>
                <w:rFonts w:ascii="Arial" w:hAnsi="Arial" w:cs="Arial"/>
                <w:sz w:val="24"/>
                <w:szCs w:val="24"/>
              </w:rPr>
              <w:t>Bainbridge in Wensleydale</w:t>
            </w:r>
          </w:p>
          <w:p w:rsidR="007C4977" w:rsidRPr="0094227F" w:rsidRDefault="007C4977" w:rsidP="007C4977">
            <w:pPr>
              <w:pStyle w:val="ListParagraph"/>
              <w:numPr>
                <w:ilvl w:val="0"/>
                <w:numId w:val="1"/>
              </w:numPr>
              <w:rPr>
                <w:rFonts w:ascii="Arial" w:hAnsi="Arial" w:cs="Arial"/>
                <w:sz w:val="24"/>
                <w:szCs w:val="24"/>
              </w:rPr>
            </w:pPr>
            <w:r w:rsidRPr="0094227F">
              <w:rPr>
                <w:rFonts w:ascii="Arial" w:hAnsi="Arial" w:cs="Arial"/>
                <w:sz w:val="24"/>
                <w:szCs w:val="24"/>
              </w:rPr>
              <w:t>Grassington in Wharfedale</w:t>
            </w:r>
          </w:p>
          <w:p w:rsidR="007C4977" w:rsidRPr="0094227F" w:rsidRDefault="007C4977" w:rsidP="007C4977">
            <w:pPr>
              <w:pStyle w:val="ListParagraph"/>
              <w:numPr>
                <w:ilvl w:val="0"/>
                <w:numId w:val="1"/>
              </w:numPr>
              <w:rPr>
                <w:rFonts w:ascii="Arial" w:hAnsi="Arial" w:cs="Arial"/>
                <w:sz w:val="24"/>
                <w:szCs w:val="24"/>
              </w:rPr>
            </w:pPr>
            <w:r w:rsidRPr="0094227F">
              <w:rPr>
                <w:rFonts w:ascii="Arial" w:hAnsi="Arial" w:cs="Arial"/>
                <w:sz w:val="24"/>
                <w:szCs w:val="24"/>
              </w:rPr>
              <w:t>5 National Park Centres at Aysgarth Falls, Grassington, Hawes, Malham and Reef</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 xml:space="preserve">Chief </w:t>
            </w:r>
            <w:r w:rsidR="00D57794" w:rsidRPr="00550953">
              <w:rPr>
                <w:rFonts w:ascii="Arial" w:hAnsi="Arial" w:cs="Arial"/>
                <w:b/>
                <w:sz w:val="24"/>
                <w:szCs w:val="24"/>
              </w:rPr>
              <w:t>Executive</w:t>
            </w:r>
          </w:p>
        </w:tc>
        <w:tc>
          <w:tcPr>
            <w:tcW w:w="6946" w:type="dxa"/>
          </w:tcPr>
          <w:p w:rsidR="007C4977" w:rsidRPr="0094227F" w:rsidRDefault="007C4977">
            <w:pPr>
              <w:rPr>
                <w:rFonts w:ascii="Arial" w:hAnsi="Arial" w:cs="Arial"/>
                <w:sz w:val="24"/>
                <w:szCs w:val="24"/>
              </w:rPr>
            </w:pPr>
            <w:r w:rsidRPr="0094227F">
              <w:rPr>
                <w:rFonts w:ascii="Arial" w:hAnsi="Arial" w:cs="Arial"/>
                <w:sz w:val="24"/>
                <w:szCs w:val="24"/>
              </w:rPr>
              <w:t>The National Park Authority’s staff are managed by the Chief Executive, David Butterworth he is responsible for the day-to-day running of the Authority.</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Directorates</w:t>
            </w:r>
          </w:p>
        </w:tc>
        <w:tc>
          <w:tcPr>
            <w:tcW w:w="6946" w:type="dxa"/>
          </w:tcPr>
          <w:p w:rsidR="007C4977" w:rsidRPr="0094227F" w:rsidRDefault="007C4977">
            <w:pPr>
              <w:rPr>
                <w:rFonts w:ascii="Arial" w:hAnsi="Arial" w:cs="Arial"/>
                <w:sz w:val="24"/>
                <w:szCs w:val="24"/>
              </w:rPr>
            </w:pPr>
            <w:r w:rsidRPr="0094227F">
              <w:rPr>
                <w:rFonts w:ascii="Arial" w:hAnsi="Arial" w:cs="Arial"/>
                <w:sz w:val="24"/>
                <w:szCs w:val="24"/>
              </w:rPr>
              <w:t>There are 3 directorates at the YDNPA: Conservation and Community, Corporate Services and Park Services. Staff are in a directorate relevant to their job role and areas of responsibility.</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Conservation and Community directorate</w:t>
            </w:r>
          </w:p>
        </w:tc>
        <w:tc>
          <w:tcPr>
            <w:tcW w:w="6946" w:type="dxa"/>
          </w:tcPr>
          <w:p w:rsidR="007C4977" w:rsidRPr="0094227F" w:rsidRDefault="007C4977">
            <w:pPr>
              <w:rPr>
                <w:rFonts w:ascii="Arial" w:hAnsi="Arial" w:cs="Arial"/>
                <w:sz w:val="24"/>
                <w:szCs w:val="24"/>
              </w:rPr>
            </w:pPr>
            <w:r w:rsidRPr="0094227F">
              <w:rPr>
                <w:rFonts w:ascii="Arial" w:hAnsi="Arial" w:cs="Arial"/>
                <w:sz w:val="24"/>
                <w:szCs w:val="24"/>
              </w:rPr>
              <w:t xml:space="preserve">Teams within this directorate: Development Management (planning), Sustainable </w:t>
            </w:r>
            <w:r w:rsidR="00D57794" w:rsidRPr="0094227F">
              <w:rPr>
                <w:rFonts w:ascii="Arial" w:hAnsi="Arial" w:cs="Arial"/>
                <w:sz w:val="24"/>
                <w:szCs w:val="24"/>
              </w:rPr>
              <w:t>Development</w:t>
            </w:r>
            <w:r w:rsidRPr="0094227F">
              <w:rPr>
                <w:rFonts w:ascii="Arial" w:hAnsi="Arial" w:cs="Arial"/>
                <w:sz w:val="24"/>
                <w:szCs w:val="24"/>
              </w:rPr>
              <w:t xml:space="preserve"> and Land Management.</w:t>
            </w:r>
          </w:p>
          <w:p w:rsidR="007C4977" w:rsidRPr="0094227F" w:rsidRDefault="007C4977">
            <w:pPr>
              <w:rPr>
                <w:rFonts w:ascii="Arial" w:hAnsi="Arial" w:cs="Arial"/>
                <w:sz w:val="24"/>
                <w:szCs w:val="24"/>
              </w:rPr>
            </w:pPr>
            <w:r w:rsidRPr="0094227F">
              <w:rPr>
                <w:rFonts w:ascii="Arial" w:hAnsi="Arial" w:cs="Arial"/>
                <w:sz w:val="24"/>
                <w:szCs w:val="24"/>
              </w:rPr>
              <w:t>These teams look after and conserve the landscape, wildlife and cultural heritage within the National Park.</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 xml:space="preserve">Corporate </w:t>
            </w:r>
            <w:r w:rsidR="00D57794" w:rsidRPr="00550953">
              <w:rPr>
                <w:rFonts w:ascii="Arial" w:hAnsi="Arial" w:cs="Arial"/>
                <w:b/>
                <w:sz w:val="24"/>
                <w:szCs w:val="24"/>
              </w:rPr>
              <w:t>Services</w:t>
            </w:r>
            <w:r w:rsidRPr="00550953">
              <w:rPr>
                <w:rFonts w:ascii="Arial" w:hAnsi="Arial" w:cs="Arial"/>
                <w:b/>
                <w:sz w:val="24"/>
                <w:szCs w:val="24"/>
              </w:rPr>
              <w:t xml:space="preserve"> directorate</w:t>
            </w:r>
          </w:p>
        </w:tc>
        <w:tc>
          <w:tcPr>
            <w:tcW w:w="6946" w:type="dxa"/>
          </w:tcPr>
          <w:p w:rsidR="007C4977" w:rsidRPr="0094227F" w:rsidRDefault="007C4977">
            <w:pPr>
              <w:rPr>
                <w:rFonts w:ascii="Arial" w:hAnsi="Arial" w:cs="Arial"/>
                <w:sz w:val="24"/>
                <w:szCs w:val="24"/>
              </w:rPr>
            </w:pPr>
            <w:r w:rsidRPr="0094227F">
              <w:rPr>
                <w:rFonts w:ascii="Arial" w:hAnsi="Arial" w:cs="Arial"/>
                <w:sz w:val="24"/>
                <w:szCs w:val="24"/>
              </w:rPr>
              <w:t xml:space="preserve">Teams within this directorate: Finance, Human Resources, IT, Legal, Communications, Members/Committees, Payroll and </w:t>
            </w:r>
            <w:r w:rsidR="00D57794" w:rsidRPr="0094227F">
              <w:rPr>
                <w:rFonts w:ascii="Arial" w:hAnsi="Arial" w:cs="Arial"/>
                <w:sz w:val="24"/>
                <w:szCs w:val="24"/>
              </w:rPr>
              <w:t>Premises</w:t>
            </w:r>
            <w:r w:rsidRPr="0094227F">
              <w:rPr>
                <w:rFonts w:ascii="Arial" w:hAnsi="Arial" w:cs="Arial"/>
                <w:sz w:val="24"/>
                <w:szCs w:val="24"/>
              </w:rPr>
              <w:t xml:space="preserve">. The teams are responsible for delivering key organisational functions including financial management, human resources, legal advice, </w:t>
            </w:r>
            <w:r w:rsidR="00CA3CEC" w:rsidRPr="0094227F">
              <w:rPr>
                <w:rFonts w:ascii="Arial" w:hAnsi="Arial" w:cs="Arial"/>
                <w:sz w:val="24"/>
                <w:szCs w:val="24"/>
              </w:rPr>
              <w:t>as well as complementary resource services such as IT, communications and premises management.</w:t>
            </w:r>
          </w:p>
        </w:tc>
      </w:tr>
      <w:tr w:rsidR="007C4977" w:rsidTr="00550953">
        <w:tc>
          <w:tcPr>
            <w:tcW w:w="3119" w:type="dxa"/>
            <w:vAlign w:val="center"/>
          </w:tcPr>
          <w:p w:rsidR="007C4977" w:rsidRPr="00550953" w:rsidRDefault="00CA3CEC" w:rsidP="00550953">
            <w:pPr>
              <w:jc w:val="center"/>
              <w:rPr>
                <w:rFonts w:ascii="Arial" w:hAnsi="Arial" w:cs="Arial"/>
                <w:b/>
                <w:sz w:val="24"/>
                <w:szCs w:val="24"/>
              </w:rPr>
            </w:pPr>
            <w:r w:rsidRPr="00550953">
              <w:rPr>
                <w:rFonts w:ascii="Arial" w:hAnsi="Arial" w:cs="Arial"/>
                <w:b/>
                <w:sz w:val="24"/>
                <w:szCs w:val="24"/>
              </w:rPr>
              <w:t>Park Services directorate</w:t>
            </w:r>
          </w:p>
        </w:tc>
        <w:tc>
          <w:tcPr>
            <w:tcW w:w="6946" w:type="dxa"/>
          </w:tcPr>
          <w:p w:rsidR="007C4977" w:rsidRPr="0094227F" w:rsidRDefault="00CA3CEC">
            <w:pPr>
              <w:rPr>
                <w:rFonts w:ascii="Arial" w:hAnsi="Arial" w:cs="Arial"/>
                <w:sz w:val="24"/>
                <w:szCs w:val="24"/>
              </w:rPr>
            </w:pPr>
            <w:r w:rsidRPr="0094227F">
              <w:rPr>
                <w:rFonts w:ascii="Arial" w:hAnsi="Arial" w:cs="Arial"/>
                <w:sz w:val="24"/>
                <w:szCs w:val="24"/>
              </w:rPr>
              <w:t>Teams within this directorate: Park Management (with three area based Ranger teams, West, South, North), Access and Engagement and Visitor Services. The teams work to enable everyone to access and enjoy the Park and promote understanding of the area’s special qualities.</w:t>
            </w:r>
          </w:p>
        </w:tc>
      </w:tr>
      <w:tr w:rsidR="007C4977" w:rsidTr="00550953">
        <w:tc>
          <w:tcPr>
            <w:tcW w:w="3119" w:type="dxa"/>
            <w:vAlign w:val="center"/>
          </w:tcPr>
          <w:p w:rsidR="007C4977" w:rsidRPr="00550953" w:rsidRDefault="00CA3CEC" w:rsidP="00550953">
            <w:pPr>
              <w:jc w:val="center"/>
              <w:rPr>
                <w:rFonts w:ascii="Arial" w:hAnsi="Arial" w:cs="Arial"/>
                <w:b/>
                <w:sz w:val="24"/>
                <w:szCs w:val="24"/>
              </w:rPr>
            </w:pPr>
            <w:r w:rsidRPr="00550953">
              <w:rPr>
                <w:rFonts w:ascii="Arial" w:hAnsi="Arial" w:cs="Arial"/>
                <w:b/>
                <w:sz w:val="24"/>
                <w:szCs w:val="24"/>
              </w:rPr>
              <w:t>Yorkshire Dales National Park</w:t>
            </w:r>
            <w:r w:rsidR="00550953">
              <w:rPr>
                <w:rFonts w:ascii="Arial" w:hAnsi="Arial" w:cs="Arial"/>
                <w:b/>
                <w:sz w:val="24"/>
                <w:szCs w:val="24"/>
              </w:rPr>
              <w:t xml:space="preserve"> (YDNP)</w:t>
            </w:r>
          </w:p>
        </w:tc>
        <w:tc>
          <w:tcPr>
            <w:tcW w:w="6946" w:type="dxa"/>
          </w:tcPr>
          <w:p w:rsidR="00276974" w:rsidRPr="0094227F" w:rsidRDefault="00276974" w:rsidP="00276974">
            <w:pPr>
              <w:contextualSpacing/>
              <w:rPr>
                <w:rFonts w:ascii="Arial" w:hAnsi="Arial" w:cs="Arial"/>
                <w:sz w:val="24"/>
                <w:szCs w:val="24"/>
              </w:rPr>
            </w:pPr>
            <w:r w:rsidRPr="0094227F">
              <w:rPr>
                <w:rFonts w:ascii="Arial" w:hAnsi="Arial" w:cs="Arial"/>
                <w:sz w:val="24"/>
                <w:szCs w:val="24"/>
              </w:rPr>
              <w:t xml:space="preserve">The Yorkshire Dales National Park (YDNP) was established in 1954. </w:t>
            </w:r>
          </w:p>
          <w:p w:rsidR="0094227F" w:rsidRPr="0094227F" w:rsidRDefault="0094227F" w:rsidP="0094227F">
            <w:pPr>
              <w:rPr>
                <w:rFonts w:ascii="Arial" w:hAnsi="Arial" w:cs="Arial"/>
                <w:sz w:val="24"/>
                <w:szCs w:val="24"/>
              </w:rPr>
            </w:pPr>
            <w:r w:rsidRPr="0094227F">
              <w:rPr>
                <w:rFonts w:ascii="Arial" w:hAnsi="Arial" w:cs="Arial"/>
                <w:sz w:val="24"/>
                <w:szCs w:val="24"/>
              </w:rPr>
              <w:t xml:space="preserve">In the UK there are 15 members in the national park family, which are protected areas because of their beautiful countryside, wildlife and cultural heritage. People live and work in the national parks and the farms, villages and towns are protected along with the landscape and wildlife. </w:t>
            </w:r>
          </w:p>
          <w:p w:rsidR="007C4977" w:rsidRPr="0094227F" w:rsidRDefault="0094227F" w:rsidP="007C4977">
            <w:pPr>
              <w:rPr>
                <w:rFonts w:ascii="Arial" w:hAnsi="Arial" w:cs="Arial"/>
                <w:sz w:val="24"/>
                <w:szCs w:val="24"/>
              </w:rPr>
            </w:pPr>
            <w:r w:rsidRPr="0094227F">
              <w:rPr>
                <w:rFonts w:ascii="Arial" w:hAnsi="Arial" w:cs="Arial"/>
                <w:sz w:val="24"/>
                <w:szCs w:val="24"/>
              </w:rPr>
              <w:t>National parks welcome visitors and provide opportunities for everyone to experience, enjoy and learn about their special qualities.</w:t>
            </w:r>
          </w:p>
        </w:tc>
      </w:tr>
      <w:tr w:rsidR="007C4977" w:rsidTr="00550953">
        <w:tc>
          <w:tcPr>
            <w:tcW w:w="3119" w:type="dxa"/>
            <w:vAlign w:val="center"/>
          </w:tcPr>
          <w:p w:rsidR="007C4977" w:rsidRPr="00550953" w:rsidRDefault="00CA3CEC" w:rsidP="00550953">
            <w:pPr>
              <w:jc w:val="center"/>
              <w:rPr>
                <w:rFonts w:ascii="Arial" w:hAnsi="Arial" w:cs="Arial"/>
                <w:b/>
                <w:sz w:val="24"/>
                <w:szCs w:val="24"/>
              </w:rPr>
            </w:pPr>
            <w:r w:rsidRPr="00550953">
              <w:rPr>
                <w:rFonts w:ascii="Arial" w:hAnsi="Arial" w:cs="Arial"/>
                <w:b/>
                <w:sz w:val="24"/>
                <w:szCs w:val="24"/>
              </w:rPr>
              <w:t>Yorkshire Dales National Park Authority</w:t>
            </w:r>
            <w:r w:rsidR="00550953">
              <w:rPr>
                <w:rFonts w:ascii="Arial" w:hAnsi="Arial" w:cs="Arial"/>
                <w:b/>
                <w:sz w:val="24"/>
                <w:szCs w:val="24"/>
              </w:rPr>
              <w:t xml:space="preserve"> (YDNPA)</w:t>
            </w:r>
          </w:p>
        </w:tc>
        <w:tc>
          <w:tcPr>
            <w:tcW w:w="6946" w:type="dxa"/>
          </w:tcPr>
          <w:p w:rsidR="00276974" w:rsidRPr="0094227F" w:rsidRDefault="00276974" w:rsidP="00276974">
            <w:pPr>
              <w:contextualSpacing/>
              <w:rPr>
                <w:rFonts w:ascii="Arial" w:hAnsi="Arial" w:cs="Arial"/>
                <w:sz w:val="24"/>
                <w:szCs w:val="24"/>
              </w:rPr>
            </w:pPr>
            <w:r w:rsidRPr="0094227F">
              <w:rPr>
                <w:rFonts w:ascii="Arial" w:hAnsi="Arial" w:cs="Arial"/>
                <w:sz w:val="24"/>
                <w:szCs w:val="24"/>
              </w:rPr>
              <w:t>The Yorkshire Dales National Park Authority (YDNPA)</w:t>
            </w:r>
            <w:r w:rsidRPr="0094227F">
              <w:rPr>
                <w:rFonts w:ascii="Arial" w:hAnsi="Arial" w:cs="Arial"/>
                <w:sz w:val="24"/>
                <w:szCs w:val="24"/>
              </w:rPr>
              <w:t xml:space="preserve"> role is clea</w:t>
            </w:r>
            <w:r w:rsidR="00F67FFD" w:rsidRPr="0094227F">
              <w:rPr>
                <w:rFonts w:ascii="Arial" w:hAnsi="Arial" w:cs="Arial"/>
                <w:sz w:val="24"/>
                <w:szCs w:val="24"/>
              </w:rPr>
              <w:t>rly defined in Parliament by</w:t>
            </w:r>
            <w:r w:rsidRPr="0094227F">
              <w:rPr>
                <w:rFonts w:ascii="Arial" w:hAnsi="Arial" w:cs="Arial"/>
                <w:sz w:val="24"/>
                <w:szCs w:val="24"/>
              </w:rPr>
              <w:t xml:space="preserve"> two statutory purposes. These are:</w:t>
            </w:r>
          </w:p>
          <w:p w:rsidR="00276974" w:rsidRPr="0094227F" w:rsidRDefault="00D57794" w:rsidP="00F67FFD">
            <w:pPr>
              <w:pStyle w:val="ListParagraph"/>
              <w:numPr>
                <w:ilvl w:val="0"/>
                <w:numId w:val="2"/>
              </w:numPr>
              <w:rPr>
                <w:rFonts w:ascii="Arial" w:hAnsi="Arial" w:cs="Arial"/>
                <w:sz w:val="24"/>
                <w:szCs w:val="24"/>
              </w:rPr>
            </w:pPr>
            <w:r w:rsidRPr="0094227F">
              <w:rPr>
                <w:rFonts w:ascii="Arial" w:hAnsi="Arial" w:cs="Arial"/>
                <w:sz w:val="24"/>
                <w:szCs w:val="24"/>
              </w:rPr>
              <w:t>To</w:t>
            </w:r>
            <w:r w:rsidR="00276974" w:rsidRPr="0094227F">
              <w:rPr>
                <w:rFonts w:ascii="Arial" w:hAnsi="Arial" w:cs="Arial"/>
                <w:sz w:val="24"/>
                <w:szCs w:val="24"/>
              </w:rPr>
              <w:t xml:space="preserve"> conserve and enhance the natural beauty, wildlife and cultural heritage of the National Park</w:t>
            </w:r>
            <w:r w:rsidR="00F67FFD" w:rsidRPr="0094227F">
              <w:rPr>
                <w:rFonts w:ascii="Arial" w:hAnsi="Arial" w:cs="Arial"/>
                <w:sz w:val="24"/>
                <w:szCs w:val="24"/>
              </w:rPr>
              <w:t>.</w:t>
            </w:r>
          </w:p>
          <w:p w:rsidR="00276974" w:rsidRPr="0094227F" w:rsidRDefault="00D57794" w:rsidP="00F67FFD">
            <w:pPr>
              <w:pStyle w:val="ListParagraph"/>
              <w:numPr>
                <w:ilvl w:val="0"/>
                <w:numId w:val="2"/>
              </w:numPr>
              <w:rPr>
                <w:rFonts w:ascii="Arial" w:hAnsi="Arial" w:cs="Arial"/>
                <w:sz w:val="24"/>
                <w:szCs w:val="24"/>
              </w:rPr>
            </w:pPr>
            <w:r w:rsidRPr="0094227F">
              <w:rPr>
                <w:rFonts w:ascii="Arial" w:hAnsi="Arial" w:cs="Arial"/>
                <w:sz w:val="24"/>
                <w:szCs w:val="24"/>
              </w:rPr>
              <w:t>To</w:t>
            </w:r>
            <w:r w:rsidR="00276974" w:rsidRPr="0094227F">
              <w:rPr>
                <w:rFonts w:ascii="Arial" w:hAnsi="Arial" w:cs="Arial"/>
                <w:sz w:val="24"/>
                <w:szCs w:val="24"/>
              </w:rPr>
              <w:t xml:space="preserve"> promote opportunities for the understanding and enjoyment of the special qualities of the area by the public.</w:t>
            </w:r>
          </w:p>
          <w:p w:rsidR="00276974" w:rsidRPr="0094227F" w:rsidRDefault="00F67FFD" w:rsidP="00F67FFD">
            <w:pPr>
              <w:rPr>
                <w:rFonts w:ascii="Arial" w:hAnsi="Arial" w:cs="Arial"/>
                <w:sz w:val="24"/>
                <w:szCs w:val="24"/>
              </w:rPr>
            </w:pPr>
            <w:r w:rsidRPr="0094227F">
              <w:rPr>
                <w:rFonts w:ascii="Arial" w:hAnsi="Arial" w:cs="Arial"/>
                <w:sz w:val="24"/>
                <w:szCs w:val="24"/>
              </w:rPr>
              <w:t>In pursuing these purposes, the YDNPA</w:t>
            </w:r>
            <w:r w:rsidR="00276974" w:rsidRPr="0094227F">
              <w:rPr>
                <w:rFonts w:ascii="Arial" w:hAnsi="Arial" w:cs="Arial"/>
                <w:sz w:val="24"/>
                <w:szCs w:val="24"/>
              </w:rPr>
              <w:t xml:space="preserve"> are also required:</w:t>
            </w:r>
          </w:p>
          <w:p w:rsidR="007C4977" w:rsidRPr="0094227F" w:rsidRDefault="00D57794" w:rsidP="00F67FFD">
            <w:pPr>
              <w:pStyle w:val="ListParagraph"/>
              <w:numPr>
                <w:ilvl w:val="0"/>
                <w:numId w:val="2"/>
              </w:numPr>
              <w:rPr>
                <w:rFonts w:ascii="Arial" w:hAnsi="Arial" w:cs="Arial"/>
                <w:sz w:val="24"/>
                <w:szCs w:val="24"/>
              </w:rPr>
            </w:pPr>
            <w:r w:rsidRPr="0094227F">
              <w:rPr>
                <w:rFonts w:ascii="Arial" w:hAnsi="Arial" w:cs="Arial"/>
                <w:sz w:val="24"/>
                <w:szCs w:val="24"/>
              </w:rPr>
              <w:t>To</w:t>
            </w:r>
            <w:r w:rsidR="00276974" w:rsidRPr="0094227F">
              <w:rPr>
                <w:rFonts w:ascii="Arial" w:hAnsi="Arial" w:cs="Arial"/>
                <w:sz w:val="24"/>
                <w:szCs w:val="24"/>
              </w:rPr>
              <w:t xml:space="preserve"> seek to foster the economic and social well-being of local communities within the National Park.</w:t>
            </w:r>
          </w:p>
        </w:tc>
      </w:tr>
      <w:bookmarkEnd w:id="0"/>
    </w:tbl>
    <w:p w:rsidR="00AC3BA6" w:rsidRDefault="00AC3BA6"/>
    <w:sectPr w:rsidR="00AC3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D1AB6"/>
    <w:multiLevelType w:val="hybridMultilevel"/>
    <w:tmpl w:val="DBB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F3DE1"/>
    <w:multiLevelType w:val="hybridMultilevel"/>
    <w:tmpl w:val="1BD2CC40"/>
    <w:lvl w:ilvl="0" w:tplc="15EC81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A"/>
    <w:rsid w:val="00276974"/>
    <w:rsid w:val="0050166A"/>
    <w:rsid w:val="00550953"/>
    <w:rsid w:val="007C4977"/>
    <w:rsid w:val="0094227F"/>
    <w:rsid w:val="00AC3BA6"/>
    <w:rsid w:val="00CA3CEC"/>
    <w:rsid w:val="00D57794"/>
    <w:rsid w:val="00F6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8ED20-3C0F-43BD-B1EA-A7C8846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5482">
      <w:bodyDiv w:val="1"/>
      <w:marLeft w:val="0"/>
      <w:marRight w:val="0"/>
      <w:marTop w:val="0"/>
      <w:marBottom w:val="0"/>
      <w:divBdr>
        <w:top w:val="none" w:sz="0" w:space="0" w:color="auto"/>
        <w:left w:val="none" w:sz="0" w:space="0" w:color="auto"/>
        <w:bottom w:val="none" w:sz="0" w:space="0" w:color="auto"/>
        <w:right w:val="none" w:sz="0" w:space="0" w:color="auto"/>
      </w:divBdr>
    </w:div>
    <w:div w:id="12659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Beardmore</dc:creator>
  <cp:keywords/>
  <dc:description/>
  <cp:lastModifiedBy>Helen Beardmore</cp:lastModifiedBy>
  <cp:revision>5</cp:revision>
  <dcterms:created xsi:type="dcterms:W3CDTF">2018-10-08T11:39:00Z</dcterms:created>
  <dcterms:modified xsi:type="dcterms:W3CDTF">2018-10-08T12:23:00Z</dcterms:modified>
</cp:coreProperties>
</file>