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433" w:rsidRPr="001434A3" w:rsidRDefault="001434A3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firstLine="0"/>
        <w:rPr>
          <w:b/>
          <w:color w:val="365F91"/>
          <w:sz w:val="28"/>
          <w:szCs w:val="28"/>
        </w:rPr>
      </w:pPr>
      <w:bookmarkStart w:id="0" w:name="_gjdgxs" w:colFirst="0" w:colLast="0"/>
      <w:bookmarkEnd w:id="0"/>
      <w:r w:rsidRPr="001434A3">
        <w:rPr>
          <w:b/>
          <w:color w:val="365F91"/>
          <w:sz w:val="28"/>
          <w:szCs w:val="28"/>
        </w:rPr>
        <w:t>Unit / Project Overview</w:t>
      </w:r>
    </w:p>
    <w:tbl>
      <w:tblPr>
        <w:tblStyle w:val="a"/>
        <w:tblW w:w="107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42"/>
        <w:gridCol w:w="1500"/>
        <w:gridCol w:w="4224"/>
      </w:tblGrid>
      <w:tr w:rsidR="004A4433" w:rsidRPr="001434A3">
        <w:trPr>
          <w:trHeight w:val="2840"/>
        </w:trPr>
        <w:tc>
          <w:tcPr>
            <w:tcW w:w="6542" w:type="dxa"/>
            <w:gridSpan w:val="2"/>
          </w:tcPr>
          <w:p w:rsidR="004A4433" w:rsidRPr="001434A3" w:rsidRDefault="001434A3">
            <w:pPr>
              <w:ind w:firstLine="0"/>
            </w:pPr>
            <w:r w:rsidRPr="001434A3">
              <w:t>Curriculum Area / Skills</w:t>
            </w:r>
          </w:p>
          <w:p w:rsidR="004A4433" w:rsidRPr="001434A3" w:rsidRDefault="004A4433">
            <w:pPr>
              <w:ind w:firstLine="0"/>
            </w:pPr>
          </w:p>
          <w:p w:rsidR="004A4433" w:rsidRPr="001434A3" w:rsidRDefault="001434A3">
            <w:pPr>
              <w:ind w:firstLine="0"/>
            </w:pPr>
            <w:r w:rsidRPr="001434A3">
              <w:t>Art, Craft and Design</w:t>
            </w:r>
          </w:p>
          <w:p w:rsidR="004A4433" w:rsidRPr="001434A3" w:rsidRDefault="001434A3">
            <w:pPr>
              <w:ind w:firstLine="0"/>
            </w:pPr>
            <w:r w:rsidRPr="001434A3">
              <w:t>Literacy- Retrieval, Evaluate, Analyse, Deduce</w:t>
            </w:r>
          </w:p>
          <w:p w:rsidR="004A4433" w:rsidRPr="001434A3" w:rsidRDefault="001434A3">
            <w:pPr>
              <w:ind w:firstLine="0"/>
            </w:pPr>
            <w:r w:rsidRPr="001434A3">
              <w:t>Creativity</w:t>
            </w:r>
          </w:p>
          <w:p w:rsidR="004A4433" w:rsidRPr="001434A3" w:rsidRDefault="001434A3">
            <w:pPr>
              <w:ind w:firstLine="0"/>
            </w:pPr>
            <w:r w:rsidRPr="001434A3">
              <w:t>Critical Thinking</w:t>
            </w:r>
          </w:p>
          <w:p w:rsidR="004A4433" w:rsidRPr="001434A3" w:rsidRDefault="001434A3">
            <w:pPr>
              <w:ind w:firstLine="0"/>
            </w:pPr>
            <w:r w:rsidRPr="001434A3">
              <w:t xml:space="preserve">Independence </w:t>
            </w:r>
          </w:p>
          <w:p w:rsidR="004A4433" w:rsidRPr="001434A3" w:rsidRDefault="001434A3">
            <w:pPr>
              <w:ind w:firstLine="0"/>
            </w:pPr>
            <w:r w:rsidRPr="001434A3">
              <w:t>Stretch &amp; challenge</w:t>
            </w:r>
          </w:p>
          <w:p w:rsidR="004A4433" w:rsidRPr="001434A3" w:rsidRDefault="001434A3">
            <w:pPr>
              <w:ind w:firstLine="0"/>
            </w:pPr>
            <w:r w:rsidRPr="001434A3">
              <w:t>Resilience</w:t>
            </w:r>
          </w:p>
          <w:p w:rsidR="004A4433" w:rsidRPr="001434A3" w:rsidRDefault="004A4433">
            <w:pPr>
              <w:ind w:firstLine="0"/>
            </w:pPr>
          </w:p>
          <w:p w:rsidR="004A4433" w:rsidRPr="001434A3" w:rsidRDefault="004A4433">
            <w:pPr>
              <w:ind w:firstLine="0"/>
            </w:pPr>
          </w:p>
          <w:p w:rsidR="004A4433" w:rsidRPr="001434A3" w:rsidRDefault="001434A3">
            <w:pPr>
              <w:ind w:firstLine="0"/>
            </w:pPr>
            <w:r w:rsidRPr="001434A3">
              <w:t xml:space="preserve">Learning Outcomes </w:t>
            </w:r>
          </w:p>
          <w:p w:rsidR="004A4433" w:rsidRPr="001434A3" w:rsidRDefault="001434A3">
            <w:pPr>
              <w:ind w:firstLine="0"/>
            </w:pPr>
            <w:bookmarkStart w:id="1" w:name="_GoBack"/>
            <w:r w:rsidRPr="001434A3">
              <w:t>AQA Art Level - Art, Craft and Design</w:t>
            </w:r>
          </w:p>
          <w:bookmarkEnd w:id="1"/>
          <w:p w:rsidR="004A4433" w:rsidRPr="001434A3" w:rsidRDefault="001434A3">
            <w:pPr>
              <w:ind w:firstLine="0"/>
            </w:pPr>
            <w:r w:rsidRPr="001434A3">
              <w:t>A01</w:t>
            </w:r>
          </w:p>
          <w:p w:rsidR="004A4433" w:rsidRPr="001434A3" w:rsidRDefault="001434A3" w:rsidP="001434A3">
            <w:pPr>
              <w:numPr>
                <w:ilvl w:val="0"/>
                <w:numId w:val="1"/>
              </w:numPr>
              <w:pBdr>
                <w:top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clear" w:color="auto" w:fill="FFFFFF"/>
            </w:pPr>
            <w:r w:rsidRPr="001434A3">
              <w:rPr>
                <w:rFonts w:eastAsia="Helvetica Neue" w:cs="Helvetica Neue"/>
                <w:color w:val="4C4C4B"/>
              </w:rPr>
              <w:t>A consistent ability to develop ideas through sustained investigations, informed by contextual and other sources.</w:t>
            </w:r>
          </w:p>
          <w:p w:rsidR="004A4433" w:rsidRPr="001434A3" w:rsidRDefault="001434A3" w:rsidP="001434A3">
            <w:pPr>
              <w:numPr>
                <w:ilvl w:val="0"/>
                <w:numId w:val="1"/>
              </w:numPr>
              <w:pBdr>
                <w:top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clear" w:color="auto" w:fill="FFFFFF"/>
            </w:pPr>
            <w:r w:rsidRPr="001434A3">
              <w:rPr>
                <w:rFonts w:eastAsia="Helvetica Neue" w:cs="Helvetica Neue"/>
                <w:color w:val="4C4C4B"/>
              </w:rPr>
              <w:t>Demonstrates consistent analytical and critical understanding.</w:t>
            </w:r>
          </w:p>
          <w:p w:rsidR="004A4433" w:rsidRPr="001434A3" w:rsidRDefault="001434A3" w:rsidP="001434A3">
            <w:pPr>
              <w:numPr>
                <w:ilvl w:val="0"/>
                <w:numId w:val="1"/>
              </w:numPr>
              <w:pBdr>
                <w:top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clear" w:color="auto" w:fill="FFFFFF"/>
              <w:spacing w:after="480"/>
            </w:pPr>
            <w:r w:rsidRPr="001434A3">
              <w:rPr>
                <w:rFonts w:eastAsia="Helvetica Neue" w:cs="Helvetica Neue"/>
                <w:color w:val="4C4C4B"/>
              </w:rPr>
              <w:t>Demonstrates consistent use of appropriate specialist vocabulary.</w:t>
            </w:r>
          </w:p>
          <w:p w:rsidR="004A4433" w:rsidRPr="001434A3" w:rsidRDefault="001434A3" w:rsidP="001434A3">
            <w:pPr>
              <w:pBdr>
                <w:top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clear" w:color="auto" w:fill="FFFFFF"/>
              <w:spacing w:after="480"/>
              <w:ind w:firstLine="0"/>
              <w:rPr>
                <w:rFonts w:eastAsia="Helvetica Neue" w:cs="Helvetica Neue"/>
                <w:color w:val="4C4C4B"/>
              </w:rPr>
            </w:pPr>
            <w:r w:rsidRPr="001434A3">
              <w:rPr>
                <w:rFonts w:eastAsia="Helvetica Neue" w:cs="Helvetica Neue"/>
                <w:color w:val="4C4C4B"/>
              </w:rPr>
              <w:t>A02</w:t>
            </w:r>
          </w:p>
          <w:p w:rsidR="004A4433" w:rsidRPr="001434A3" w:rsidRDefault="001434A3" w:rsidP="001434A3">
            <w:pPr>
              <w:numPr>
                <w:ilvl w:val="0"/>
                <w:numId w:val="1"/>
              </w:numPr>
              <w:pBdr>
                <w:top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clear" w:color="auto" w:fill="FFFFFF"/>
            </w:pPr>
            <w:r w:rsidRPr="001434A3">
              <w:rPr>
                <w:rFonts w:eastAsia="Helvetica Neue" w:cs="Helvetica Neue"/>
                <w:color w:val="4C4C4B"/>
              </w:rPr>
              <w:t>A consistent ability to present a personal and meaningful response.</w:t>
            </w:r>
          </w:p>
          <w:p w:rsidR="004A4433" w:rsidRPr="001434A3" w:rsidRDefault="001434A3" w:rsidP="001434A3">
            <w:pPr>
              <w:numPr>
                <w:ilvl w:val="0"/>
                <w:numId w:val="1"/>
              </w:numPr>
              <w:pBdr>
                <w:top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clear" w:color="auto" w:fill="FFFFFF"/>
              <w:spacing w:after="480"/>
            </w:pPr>
            <w:r w:rsidRPr="001434A3">
              <w:rPr>
                <w:rFonts w:eastAsia="Helvetica Neue" w:cs="Helvetica Neue"/>
                <w:color w:val="4C4C4B"/>
              </w:rPr>
              <w:t>Demonstrates a consistent ability to successfully realise intentions and, where appropriate, makes connections between vis</w:t>
            </w:r>
            <w:r>
              <w:rPr>
                <w:rFonts w:eastAsia="Helvetica Neue" w:cs="Helvetica Neue"/>
                <w:color w:val="4C4C4B"/>
              </w:rPr>
              <w:t>ual, written and other elements.</w:t>
            </w:r>
          </w:p>
        </w:tc>
        <w:tc>
          <w:tcPr>
            <w:tcW w:w="4224" w:type="dxa"/>
          </w:tcPr>
          <w:p w:rsidR="004A4433" w:rsidRPr="001434A3" w:rsidRDefault="001434A3">
            <w:pPr>
              <w:ind w:firstLine="0"/>
            </w:pPr>
            <w:r w:rsidRPr="001434A3">
              <w:t>Subject / Course  Art</w:t>
            </w:r>
          </w:p>
          <w:p w:rsidR="004A4433" w:rsidRPr="001434A3" w:rsidRDefault="004A4433">
            <w:pPr>
              <w:ind w:firstLine="0"/>
            </w:pPr>
          </w:p>
          <w:p w:rsidR="004A4433" w:rsidRPr="001434A3" w:rsidRDefault="001434A3">
            <w:pPr>
              <w:ind w:firstLine="0"/>
            </w:pPr>
            <w:r w:rsidRPr="001434A3">
              <w:t>Teacher Mrs Gatti</w:t>
            </w:r>
          </w:p>
          <w:p w:rsidR="004A4433" w:rsidRPr="001434A3" w:rsidRDefault="004A4433">
            <w:pPr>
              <w:ind w:firstLine="0"/>
            </w:pPr>
          </w:p>
          <w:p w:rsidR="004A4433" w:rsidRPr="001434A3" w:rsidRDefault="001434A3">
            <w:pPr>
              <w:ind w:firstLine="0"/>
            </w:pPr>
            <w:r w:rsidRPr="001434A3">
              <w:t xml:space="preserve">Class/Year group Y12 </w:t>
            </w:r>
          </w:p>
          <w:p w:rsidR="004A4433" w:rsidRPr="001434A3" w:rsidRDefault="004A4433">
            <w:pPr>
              <w:ind w:firstLine="0"/>
            </w:pPr>
          </w:p>
          <w:p w:rsidR="004A4433" w:rsidRPr="001434A3" w:rsidRDefault="001434A3">
            <w:pPr>
              <w:ind w:firstLine="0"/>
            </w:pPr>
            <w:r w:rsidRPr="001434A3">
              <w:t>Number of Students 6</w:t>
            </w:r>
          </w:p>
          <w:p w:rsidR="004A4433" w:rsidRPr="001434A3" w:rsidRDefault="004A4433">
            <w:pPr>
              <w:ind w:firstLine="0"/>
            </w:pPr>
          </w:p>
          <w:p w:rsidR="004A4433" w:rsidRPr="001434A3" w:rsidRDefault="001434A3">
            <w:pPr>
              <w:ind w:firstLine="0"/>
            </w:pPr>
            <w:r w:rsidRPr="001434A3">
              <w:t>Start date</w:t>
            </w:r>
            <w:r w:rsidRPr="001434A3">
              <w:t xml:space="preserve"> 2 December</w:t>
            </w:r>
          </w:p>
          <w:p w:rsidR="004A4433" w:rsidRPr="001434A3" w:rsidRDefault="004A4433">
            <w:pPr>
              <w:ind w:firstLine="0"/>
            </w:pPr>
          </w:p>
          <w:p w:rsidR="004A4433" w:rsidRPr="001434A3" w:rsidRDefault="001434A3">
            <w:pPr>
              <w:ind w:firstLine="0"/>
            </w:pPr>
            <w:r w:rsidRPr="001434A3">
              <w:t xml:space="preserve">Length of project Term </w:t>
            </w:r>
          </w:p>
          <w:p w:rsidR="004A4433" w:rsidRPr="001434A3" w:rsidRDefault="004A4433">
            <w:pPr>
              <w:ind w:firstLine="0"/>
            </w:pPr>
          </w:p>
          <w:p w:rsidR="004A4433" w:rsidRPr="001434A3" w:rsidRDefault="001434A3">
            <w:pPr>
              <w:ind w:firstLine="0"/>
            </w:pPr>
            <w:r w:rsidRPr="001434A3">
              <w:t>Additional Info</w:t>
            </w:r>
          </w:p>
          <w:p w:rsidR="001434A3" w:rsidRDefault="001434A3">
            <w:pPr>
              <w:ind w:firstLine="0"/>
            </w:pPr>
          </w:p>
          <w:p w:rsidR="001434A3" w:rsidRPr="001434A3" w:rsidRDefault="001434A3" w:rsidP="001434A3"/>
          <w:p w:rsidR="001434A3" w:rsidRPr="001434A3" w:rsidRDefault="001434A3" w:rsidP="001434A3"/>
          <w:p w:rsidR="001434A3" w:rsidRPr="001434A3" w:rsidRDefault="001434A3" w:rsidP="001434A3"/>
          <w:p w:rsidR="001434A3" w:rsidRPr="001434A3" w:rsidRDefault="001434A3" w:rsidP="001434A3"/>
          <w:p w:rsidR="001434A3" w:rsidRPr="001434A3" w:rsidRDefault="001434A3" w:rsidP="001434A3"/>
          <w:p w:rsidR="001434A3" w:rsidRPr="001434A3" w:rsidRDefault="001434A3" w:rsidP="001434A3"/>
          <w:p w:rsidR="001434A3" w:rsidRPr="001434A3" w:rsidRDefault="001434A3" w:rsidP="001434A3"/>
          <w:p w:rsidR="001434A3" w:rsidRPr="001434A3" w:rsidRDefault="001434A3" w:rsidP="001434A3"/>
          <w:p w:rsidR="001434A3" w:rsidRPr="001434A3" w:rsidRDefault="001434A3" w:rsidP="001434A3"/>
          <w:p w:rsidR="001434A3" w:rsidRPr="001434A3" w:rsidRDefault="001434A3" w:rsidP="001434A3"/>
          <w:p w:rsidR="001434A3" w:rsidRPr="001434A3" w:rsidRDefault="001434A3" w:rsidP="001434A3"/>
          <w:p w:rsidR="001434A3" w:rsidRPr="001434A3" w:rsidRDefault="001434A3" w:rsidP="001434A3"/>
          <w:p w:rsidR="001434A3" w:rsidRPr="001434A3" w:rsidRDefault="001434A3" w:rsidP="001434A3"/>
          <w:p w:rsidR="004A4433" w:rsidRPr="001434A3" w:rsidRDefault="004A4433" w:rsidP="001434A3">
            <w:pPr>
              <w:ind w:firstLine="0"/>
            </w:pPr>
          </w:p>
        </w:tc>
      </w:tr>
      <w:tr w:rsidR="004A4433" w:rsidRPr="001434A3">
        <w:trPr>
          <w:trHeight w:val="840"/>
        </w:trPr>
        <w:tc>
          <w:tcPr>
            <w:tcW w:w="10766" w:type="dxa"/>
            <w:gridSpan w:val="3"/>
          </w:tcPr>
          <w:p w:rsidR="004A4433" w:rsidRPr="001434A3" w:rsidRDefault="001434A3">
            <w:pPr>
              <w:ind w:firstLine="0"/>
            </w:pPr>
            <w:r w:rsidRPr="001434A3">
              <w:t>Driving Question</w:t>
            </w:r>
          </w:p>
          <w:p w:rsidR="004A4433" w:rsidRPr="001434A3" w:rsidRDefault="001434A3">
            <w:pPr>
              <w:ind w:firstLine="0"/>
            </w:pPr>
            <w:r w:rsidRPr="001434A3">
              <w:t>How can Consistency develop Creativity?</w:t>
            </w:r>
          </w:p>
        </w:tc>
      </w:tr>
      <w:tr w:rsidR="004A4433" w:rsidRPr="001434A3">
        <w:trPr>
          <w:trHeight w:val="840"/>
        </w:trPr>
        <w:tc>
          <w:tcPr>
            <w:tcW w:w="10766" w:type="dxa"/>
            <w:gridSpan w:val="3"/>
          </w:tcPr>
          <w:p w:rsidR="004A4433" w:rsidRPr="001434A3" w:rsidRDefault="001434A3">
            <w:pPr>
              <w:ind w:firstLine="0"/>
            </w:pPr>
            <w:r w:rsidRPr="001434A3">
              <w:t>How can the learning from the employer visit be applied to the project idea?</w:t>
            </w:r>
          </w:p>
          <w:p w:rsidR="004A4433" w:rsidRPr="001434A3" w:rsidRDefault="004A4433">
            <w:pPr>
              <w:ind w:firstLine="0"/>
            </w:pPr>
          </w:p>
          <w:p w:rsidR="004A4433" w:rsidRPr="001434A3" w:rsidRDefault="001434A3">
            <w:pPr>
              <w:ind w:firstLine="0"/>
            </w:pPr>
            <w:hyperlink r:id="rId5">
              <w:r w:rsidRPr="001434A3">
                <w:rPr>
                  <w:color w:val="1155CC"/>
                  <w:u w:val="single"/>
                </w:rPr>
                <w:t>https://precept.co.uk/</w:t>
              </w:r>
            </w:hyperlink>
            <w:r w:rsidRPr="001434A3">
              <w:t xml:space="preserve">  When visiting Precept - I saw how they used branding decks to help their clients see who they are and not.</w:t>
            </w:r>
            <w:r w:rsidRPr="001434A3">
              <w:t xml:space="preserve">  The</w:t>
            </w:r>
            <w:r w:rsidRPr="001434A3">
              <w:t>n how this is develop to 5</w:t>
            </w:r>
            <w:r w:rsidRPr="001434A3">
              <w:t xml:space="preserve"> key adjectives which drives the whole brand and develop creative process.  I saw this process as inspirational to my teaching as students struggle to keep a consistent message in their work which is a key aspect of both GCSE and</w:t>
            </w:r>
            <w:r w:rsidRPr="001434A3">
              <w:t xml:space="preserve"> A level art - Level 4 key term and B upwards key term.</w:t>
            </w:r>
          </w:p>
        </w:tc>
      </w:tr>
      <w:tr w:rsidR="004A4433" w:rsidRPr="001434A3">
        <w:trPr>
          <w:trHeight w:val="760"/>
        </w:trPr>
        <w:tc>
          <w:tcPr>
            <w:tcW w:w="5042" w:type="dxa"/>
          </w:tcPr>
          <w:p w:rsidR="004A4433" w:rsidRPr="001434A3" w:rsidRDefault="001434A3">
            <w:pPr>
              <w:ind w:firstLine="0"/>
            </w:pPr>
            <w:r w:rsidRPr="001434A3">
              <w:t>Which Stakeholders could help deliver the project?</w:t>
            </w:r>
          </w:p>
          <w:p w:rsidR="004A4433" w:rsidRPr="001434A3" w:rsidRDefault="004A4433">
            <w:pPr>
              <w:ind w:firstLine="0"/>
            </w:pPr>
          </w:p>
          <w:p w:rsidR="004A4433" w:rsidRPr="001434A3" w:rsidRDefault="004A4433">
            <w:pPr>
              <w:ind w:firstLine="0"/>
            </w:pPr>
          </w:p>
        </w:tc>
        <w:tc>
          <w:tcPr>
            <w:tcW w:w="5724" w:type="dxa"/>
            <w:gridSpan w:val="2"/>
          </w:tcPr>
          <w:p w:rsidR="004A4433" w:rsidRPr="001434A3" w:rsidRDefault="001434A3">
            <w:pPr>
              <w:ind w:firstLine="0"/>
            </w:pPr>
            <w:r w:rsidRPr="001434A3">
              <w:t>Foreseen Challenges / solutions?</w:t>
            </w:r>
          </w:p>
          <w:p w:rsidR="004A4433" w:rsidRPr="001434A3" w:rsidRDefault="001434A3" w:rsidP="001434A3">
            <w:r w:rsidRPr="001434A3">
              <w:t>Literacy and understanding of some adjectives. Use of noun project - free icons to represent the adjectives. Bu</w:t>
            </w:r>
            <w:r w:rsidRPr="001434A3">
              <w:t>t would this be my interpretations not theirs - egg</w:t>
            </w:r>
            <w:r w:rsidRPr="001434A3">
              <w:t xml:space="preserve"> leading</w:t>
            </w:r>
          </w:p>
        </w:tc>
      </w:tr>
      <w:tr w:rsidR="004A4433" w:rsidRPr="001434A3">
        <w:trPr>
          <w:trHeight w:val="760"/>
        </w:trPr>
        <w:tc>
          <w:tcPr>
            <w:tcW w:w="10766" w:type="dxa"/>
            <w:gridSpan w:val="3"/>
          </w:tcPr>
          <w:p w:rsidR="004A4433" w:rsidRPr="001434A3" w:rsidRDefault="001434A3">
            <w:pPr>
              <w:ind w:firstLine="0"/>
            </w:pPr>
            <w:r w:rsidRPr="001434A3">
              <w:t>Draft activity timeline (specific delivery times / flexibility)</w:t>
            </w:r>
          </w:p>
          <w:p w:rsidR="004A4433" w:rsidRPr="001434A3" w:rsidRDefault="001434A3">
            <w:pPr>
              <w:ind w:firstLine="0"/>
            </w:pPr>
            <w:r w:rsidRPr="001434A3">
              <w:t>Once a Fortnight to Y12 lesson.  Week 1 Monday Period 4.</w:t>
            </w:r>
          </w:p>
          <w:p w:rsidR="004A4433" w:rsidRPr="001434A3" w:rsidRDefault="001434A3">
            <w:pPr>
              <w:ind w:firstLine="0"/>
            </w:pPr>
            <w:r w:rsidRPr="001434A3">
              <w:t>7 January  - 15 June</w:t>
            </w:r>
          </w:p>
        </w:tc>
      </w:tr>
      <w:tr w:rsidR="004A4433" w:rsidRPr="001434A3">
        <w:trPr>
          <w:trHeight w:val="760"/>
        </w:trPr>
        <w:tc>
          <w:tcPr>
            <w:tcW w:w="6542" w:type="dxa"/>
            <w:gridSpan w:val="2"/>
          </w:tcPr>
          <w:p w:rsidR="004A4433" w:rsidRPr="001434A3" w:rsidRDefault="001434A3">
            <w:pPr>
              <w:ind w:firstLine="0"/>
            </w:pPr>
            <w:r w:rsidRPr="001434A3">
              <w:t>Products / outputs?</w:t>
            </w:r>
          </w:p>
          <w:p w:rsidR="004A4433" w:rsidRPr="001434A3" w:rsidRDefault="001434A3">
            <w:pPr>
              <w:ind w:firstLine="0"/>
            </w:pPr>
            <w:r w:rsidRPr="001434A3">
              <w:t>Branding Cards to be used in Art lessons to support students develop own ideas</w:t>
            </w:r>
          </w:p>
          <w:p w:rsidR="004A4433" w:rsidRPr="001434A3" w:rsidRDefault="001434A3">
            <w:pPr>
              <w:ind w:firstLine="0"/>
            </w:pPr>
            <w:r w:rsidRPr="001434A3">
              <w:t>Then students create consistent message in their work using new art brand cards</w:t>
            </w:r>
          </w:p>
        </w:tc>
        <w:tc>
          <w:tcPr>
            <w:tcW w:w="4224" w:type="dxa"/>
          </w:tcPr>
          <w:p w:rsidR="004A4433" w:rsidRPr="001434A3" w:rsidRDefault="001434A3">
            <w:pPr>
              <w:ind w:firstLine="0"/>
            </w:pPr>
            <w:r w:rsidRPr="001434A3">
              <w:t>How will you celebrate, showcase learning with wider stakeholders?</w:t>
            </w:r>
          </w:p>
          <w:p w:rsidR="004A4433" w:rsidRPr="001434A3" w:rsidRDefault="001434A3">
            <w:pPr>
              <w:ind w:firstLine="0"/>
            </w:pPr>
            <w:r w:rsidRPr="001434A3">
              <w:t>Private view/open studio</w:t>
            </w:r>
          </w:p>
        </w:tc>
      </w:tr>
      <w:tr w:rsidR="004A4433" w:rsidRPr="001434A3">
        <w:trPr>
          <w:trHeight w:val="840"/>
        </w:trPr>
        <w:tc>
          <w:tcPr>
            <w:tcW w:w="6542" w:type="dxa"/>
            <w:gridSpan w:val="2"/>
          </w:tcPr>
          <w:p w:rsidR="004A4433" w:rsidRPr="001434A3" w:rsidRDefault="001434A3">
            <w:pPr>
              <w:ind w:firstLine="0"/>
            </w:pPr>
            <w:r w:rsidRPr="001434A3">
              <w:t>How will the work be assessed? How will you measure the impact, what are the success criteria?</w:t>
            </w:r>
          </w:p>
          <w:p w:rsidR="004A4433" w:rsidRPr="001434A3" w:rsidRDefault="004A4433">
            <w:pPr>
              <w:ind w:firstLine="0"/>
            </w:pPr>
          </w:p>
          <w:p w:rsidR="004A4433" w:rsidRPr="001434A3" w:rsidRDefault="001434A3">
            <w:pPr>
              <w:ind w:firstLine="0"/>
            </w:pPr>
            <w:r w:rsidRPr="001434A3">
              <w:t>Using A level Art, Craft and Design Criteria</w:t>
            </w:r>
          </w:p>
          <w:p w:rsidR="004A4433" w:rsidRPr="001434A3" w:rsidRDefault="001434A3">
            <w:pPr>
              <w:ind w:firstLine="0"/>
            </w:pPr>
            <w:r w:rsidRPr="001434A3">
              <w:t>Open Studio evening in June to link to</w:t>
            </w:r>
            <w:r>
              <w:t xml:space="preserve"> Gold Arts Award and GCSE and A l</w:t>
            </w:r>
            <w:r w:rsidRPr="001434A3">
              <w:t>evel moderation evening.</w:t>
            </w:r>
          </w:p>
          <w:p w:rsidR="004A4433" w:rsidRPr="001434A3" w:rsidRDefault="001434A3">
            <w:pPr>
              <w:ind w:firstLine="0"/>
            </w:pPr>
            <w:r w:rsidRPr="001434A3">
              <w:rPr>
                <w:noProof/>
              </w:rPr>
              <w:lastRenderedPageBreak/>
              <w:drawing>
                <wp:inline distT="114300" distB="114300" distL="114300" distR="114300">
                  <wp:extent cx="4019550" cy="2171700"/>
                  <wp:effectExtent l="0" t="0" r="0" b="0"/>
                  <wp:docPr id="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19550" cy="21717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4" w:type="dxa"/>
          </w:tcPr>
          <w:p w:rsidR="004A4433" w:rsidRPr="001434A3" w:rsidRDefault="001434A3">
            <w:pPr>
              <w:ind w:firstLine="0"/>
            </w:pPr>
            <w:r w:rsidRPr="001434A3">
              <w:lastRenderedPageBreak/>
              <w:t>Differentiation</w:t>
            </w:r>
          </w:p>
          <w:p w:rsidR="004A4433" w:rsidRPr="001434A3" w:rsidRDefault="001434A3">
            <w:pPr>
              <w:ind w:firstLine="0"/>
            </w:pPr>
            <w:hyperlink r:id="rId7">
              <w:r w:rsidRPr="001434A3">
                <w:rPr>
                  <w:color w:val="1155CC"/>
                  <w:u w:val="single"/>
                </w:rPr>
                <w:t>https://thenounproject.com/</w:t>
              </w:r>
            </w:hyperlink>
          </w:p>
          <w:p w:rsidR="004A4433" w:rsidRPr="001434A3" w:rsidRDefault="001434A3">
            <w:pPr>
              <w:ind w:firstLine="0"/>
            </w:pPr>
            <w:hyperlink r:id="rId8">
              <w:r w:rsidRPr="001434A3">
                <w:rPr>
                  <w:color w:val="1155CC"/>
                  <w:u w:val="single"/>
                </w:rPr>
                <w:t>https://branding.cards/</w:t>
              </w:r>
            </w:hyperlink>
          </w:p>
          <w:p w:rsidR="004A4433" w:rsidRPr="001434A3" w:rsidRDefault="001434A3">
            <w:pPr>
              <w:ind w:firstLine="0"/>
            </w:pPr>
            <w:hyperlink r:id="rId9">
              <w:r w:rsidRPr="001434A3">
                <w:rPr>
                  <w:color w:val="1155CC"/>
                  <w:u w:val="single"/>
                </w:rPr>
                <w:t>https://www.smore.com/st133-art-vocabulary-</w:t>
              </w:r>
              <w:r w:rsidRPr="001434A3">
                <w:rPr>
                  <w:color w:val="1155CC"/>
                  <w:u w:val="single"/>
                </w:rPr>
                <w:t>adjectives</w:t>
              </w:r>
            </w:hyperlink>
          </w:p>
          <w:p w:rsidR="004A4433" w:rsidRPr="001434A3" w:rsidRDefault="001434A3">
            <w:pPr>
              <w:ind w:firstLine="0"/>
            </w:pPr>
            <w:hyperlink r:id="rId10">
              <w:r w:rsidRPr="001434A3">
                <w:rPr>
                  <w:color w:val="1155CC"/>
                  <w:u w:val="single"/>
                </w:rPr>
                <w:t>https://www.liveabout.com/art-words-list-2577414</w:t>
              </w:r>
            </w:hyperlink>
          </w:p>
          <w:p w:rsidR="004A4433" w:rsidRPr="001434A3" w:rsidRDefault="001434A3">
            <w:pPr>
              <w:ind w:firstLine="0"/>
            </w:pPr>
            <w:hyperlink r:id="rId11">
              <w:r w:rsidRPr="001434A3">
                <w:rPr>
                  <w:color w:val="1155CC"/>
                  <w:u w:val="single"/>
                </w:rPr>
                <w:t>https://7esl.com/opposite-adjectives/</w:t>
              </w:r>
            </w:hyperlink>
          </w:p>
        </w:tc>
      </w:tr>
    </w:tbl>
    <w:p w:rsidR="004A4433" w:rsidRDefault="004A4433">
      <w:pPr>
        <w:ind w:firstLine="0"/>
      </w:pPr>
    </w:p>
    <w:sectPr w:rsidR="004A4433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 Neue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483236"/>
    <w:multiLevelType w:val="multilevel"/>
    <w:tmpl w:val="F5BE0ACC"/>
    <w:lvl w:ilvl="0">
      <w:start w:val="1"/>
      <w:numFmt w:val="bullet"/>
      <w:lvlText w:val="●"/>
      <w:lvlJc w:val="left"/>
      <w:pPr>
        <w:ind w:left="720" w:hanging="360"/>
      </w:pPr>
      <w:rPr>
        <w:rFonts w:ascii="Helvetica Neue" w:eastAsia="Helvetica Neue" w:hAnsi="Helvetica Neue" w:cs="Helvetica Neue"/>
        <w:color w:val="4C4C4B"/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433"/>
    <w:rsid w:val="001434A3"/>
    <w:rsid w:val="004A4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F9C912B-1764-40C5-B2E3-B524E6FC9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sz w:val="20"/>
      <w:szCs w:val="20"/>
    </w:r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randing.cards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henounproject.com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7esl.com/opposite-adjectives/" TargetMode="External"/><Relationship Id="rId5" Type="http://schemas.openxmlformats.org/officeDocument/2006/relationships/hyperlink" Target="https://precept.co.uk/" TargetMode="External"/><Relationship Id="rId10" Type="http://schemas.openxmlformats.org/officeDocument/2006/relationships/hyperlink" Target="https://www.liveabout.com/art-words-list-257741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more.com/st133-art-vocabulary-adjectiv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437</Words>
  <Characters>2492</Characters>
  <Application>Microsoft Office Word</Application>
  <DocSecurity>0</DocSecurity>
  <Lines>20</Lines>
  <Paragraphs>5</Paragraphs>
  <ScaleCrop>false</ScaleCrop>
  <Company/>
  <LinksUpToDate>false</LinksUpToDate>
  <CharactersWithSpaces>2924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Helen Beardmore</cp:lastModifiedBy>
  <cp:revision>2</cp:revision>
  <dcterms:created xsi:type="dcterms:W3CDTF">2020-08-31T15:56:00Z</dcterms:created>
  <dcterms:modified xsi:type="dcterms:W3CDTF">2020-08-31T16:05:00Z</dcterms:modified>
</cp:coreProperties>
</file>