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C48D0" w:rsidRPr="00DC48D0" w:rsidRDefault="00DC48D0" w:rsidP="00DC48D0">
      <w:pPr>
        <w:rPr>
          <w:b/>
          <w:sz w:val="28"/>
          <w:szCs w:val="28"/>
        </w:rPr>
      </w:pPr>
      <w:r w:rsidRPr="00DC48D0">
        <w:rPr>
          <w:b/>
          <w:noProof/>
          <w:sz w:val="28"/>
          <w:szCs w:val="28"/>
          <w:lang w:eastAsia="en-GB"/>
        </w:rPr>
        <mc:AlternateContent>
          <mc:Choice Requires="wps">
            <w:drawing>
              <wp:anchor distT="45720" distB="45720" distL="114300" distR="114300" simplePos="0" relativeHeight="251671552" behindDoc="0" locked="0" layoutInCell="1" allowOverlap="1" wp14:anchorId="038AC680" wp14:editId="7DEDBC44">
                <wp:simplePos x="0" y="0"/>
                <wp:positionH relativeFrom="column">
                  <wp:posOffset>95250</wp:posOffset>
                </wp:positionH>
                <wp:positionV relativeFrom="paragraph">
                  <wp:posOffset>3543300</wp:posOffset>
                </wp:positionV>
                <wp:extent cx="5610225" cy="10001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000125"/>
                        </a:xfrm>
                        <a:prstGeom prst="rect">
                          <a:avLst/>
                        </a:prstGeom>
                        <a:solidFill>
                          <a:srgbClr val="FFFFFF"/>
                        </a:solidFill>
                        <a:ln w="9525">
                          <a:solidFill>
                            <a:srgbClr val="000000"/>
                          </a:solidFill>
                          <a:miter lim="800000"/>
                          <a:headEnd/>
                          <a:tailEnd/>
                        </a:ln>
                      </wps:spPr>
                      <wps:txbx>
                        <w:txbxContent>
                          <w:p w:rsidR="00DC48D0" w:rsidRPr="00DC48D0" w:rsidRDefault="00DC48D0" w:rsidP="00DC48D0">
                            <w:pPr>
                              <w:shd w:val="clear" w:color="auto" w:fill="F2DBDB" w:themeFill="accent2" w:themeFillTint="33"/>
                              <w:autoSpaceDE w:val="0"/>
                              <w:autoSpaceDN w:val="0"/>
                              <w:adjustRightInd w:val="0"/>
                              <w:spacing w:after="0" w:line="240" w:lineRule="auto"/>
                              <w:rPr>
                                <w:rFonts w:ascii="Arial" w:hAnsi="Arial" w:cs="Arial"/>
                                <w:sz w:val="28"/>
                                <w:szCs w:val="28"/>
                              </w:rPr>
                            </w:pPr>
                            <w:r>
                              <w:rPr>
                                <w:rFonts w:ascii="Arial" w:hAnsi="Arial" w:cs="Arial"/>
                                <w:sz w:val="28"/>
                                <w:szCs w:val="28"/>
                              </w:rPr>
                              <w:t>Do not burn excess areas of Heather. The soil and blanket bog underneath the soil is a carbon store (double the amount of trees). If large areas of heather are burnt, carbon will be released into the atmosphere and contribute to climate change.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38AC680" id="_x0000_t202" coordsize="21600,21600" o:spt="202" path="m,l,21600r21600,l21600,xe">
                <v:stroke joinstyle="miter"/>
                <v:path gradientshapeok="t" o:connecttype="rect"/>
              </v:shapetype>
              <v:shape id="Text Box 2" o:spid="_x0000_s1026" type="#_x0000_t202" style="position:absolute;margin-left:7.5pt;margin-top:279pt;width:441.75pt;height:78.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">
                <v:textbox>
                  <w:txbxContent>
                    <w:p w:rsidR="00DC48D0" w:rsidRPr="00DC48D0" w:rsidRDefault="00DC48D0" w:rsidP="00DC48D0">
                      <w:pPr>
                        <w:shd w:val="clear" w:color="auto" w:fill="F2DBDB" w:themeFill="accent2" w:themeFillTint="33"/>
                        <w:autoSpaceDE w:val="0"/>
                        <w:autoSpaceDN w:val="0"/>
                        <w:adjustRightInd w:val="0"/>
                        <w:spacing w:after="0" w:line="240" w:lineRule="auto"/>
                        <w:rPr>
                          <w:rFonts w:ascii="Arial" w:hAnsi="Arial" w:cs="Arial"/>
                          <w:sz w:val="28"/>
                          <w:szCs w:val="28"/>
                        </w:rPr>
                      </w:pPr>
                      <w:r>
                        <w:rPr>
                          <w:rFonts w:ascii="Arial" w:hAnsi="Arial" w:cs="Arial"/>
                          <w:sz w:val="28"/>
                          <w:szCs w:val="28"/>
                        </w:rPr>
                        <w:t>Do not burn excess areas of Heather. The soil and blanket bog underneath the soil is a carbon store (double the amount of trees). If large areas of heather are burnt, carbon will be released into the atmosphere and contribute to climate change.</w:t>
                      </w:r>
                    </w:p>
                  </w:txbxContent>
                </v:textbox>
                <w10:wrap type="square"/>
              </v:shape>
            </w:pict>
          </mc:Fallback>
        </mc:AlternateContent>
      </w:r>
      <w:r w:rsidRPr="00DC48D0">
        <w:rPr>
          <w:b/>
          <w:noProof/>
          <w:sz w:val="28"/>
          <w:szCs w:val="28"/>
          <w:lang w:eastAsia="en-GB"/>
        </w:rPr>
        <mc:AlternateContent>
          <mc:Choice Requires="wps">
            <w:drawing>
              <wp:anchor distT="45720" distB="45720" distL="114300" distR="114300" simplePos="0" relativeHeight="251667456" behindDoc="0" locked="0" layoutInCell="1" allowOverlap="1">
                <wp:simplePos x="0" y="0"/>
                <wp:positionH relativeFrom="column">
                  <wp:posOffset>95250</wp:posOffset>
                </wp:positionH>
                <wp:positionV relativeFrom="paragraph">
                  <wp:posOffset>2047875</wp:posOffset>
                </wp:positionV>
                <wp:extent cx="5610225" cy="143827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438275"/>
                        </a:xfrm>
                        <a:prstGeom prst="rect">
                          <a:avLst/>
                        </a:prstGeom>
                        <a:solidFill>
                          <a:srgbClr val="FFFFFF"/>
                        </a:solidFill>
                        <a:ln w="9525">
                          <a:solidFill>
                            <a:srgbClr val="000000"/>
                          </a:solidFill>
                          <a:miter lim="800000"/>
                          <a:headEnd/>
                          <a:tailEnd/>
                        </a:ln>
                      </wps:spPr>
                      <wps:txbx>
                        <w:txbxContent>
                          <w:p w:rsidR="00DC48D0" w:rsidRPr="00DC48D0" w:rsidRDefault="00DC48D0" w:rsidP="00DC48D0">
                            <w:pPr>
                              <w:shd w:val="clear" w:color="auto" w:fill="D6E3BC" w:themeFill="accent3" w:themeFillTint="66"/>
                              <w:autoSpaceDE w:val="0"/>
                              <w:autoSpaceDN w:val="0"/>
                              <w:adjustRightInd w:val="0"/>
                              <w:spacing w:after="0" w:line="240" w:lineRule="auto"/>
                              <w:rPr>
                                <w:rFonts w:ascii="Arial" w:hAnsi="Arial" w:cs="Arial"/>
                                <w:sz w:val="28"/>
                                <w:szCs w:val="28"/>
                              </w:rPr>
                            </w:pPr>
                            <w:r w:rsidRPr="00DC48D0">
                              <w:rPr>
                                <w:rFonts w:ascii="Arial" w:hAnsi="Arial" w:cs="Arial"/>
                                <w:sz w:val="28"/>
                                <w:szCs w:val="28"/>
                              </w:rPr>
                              <w:t>Do not supplementary feed in native woodland except during</w:t>
                            </w:r>
                          </w:p>
                          <w:p w:rsidR="00DC48D0" w:rsidRPr="00DC48D0" w:rsidRDefault="00DC48D0" w:rsidP="00DC48D0">
                            <w:pPr>
                              <w:shd w:val="clear" w:color="auto" w:fill="D6E3BC" w:themeFill="accent3" w:themeFillTint="66"/>
                              <w:autoSpaceDE w:val="0"/>
                              <w:autoSpaceDN w:val="0"/>
                              <w:adjustRightInd w:val="0"/>
                              <w:spacing w:after="0" w:line="240" w:lineRule="auto"/>
                              <w:rPr>
                                <w:rFonts w:ascii="Arial" w:hAnsi="Arial" w:cs="Arial"/>
                                <w:sz w:val="28"/>
                                <w:szCs w:val="28"/>
                              </w:rPr>
                            </w:pPr>
                            <w:r w:rsidRPr="00DC48D0">
                              <w:rPr>
                                <w:rFonts w:ascii="Arial" w:hAnsi="Arial" w:cs="Arial"/>
                                <w:sz w:val="28"/>
                                <w:szCs w:val="28"/>
                              </w:rPr>
                              <w:t>periods of extreme weather, where access to forage is severely restricted and the welfare of livestock might otherwise be compromised. Extreme weather is defined as more than two consecutive days of snow cover or continuous hard frost, prolonged drought or prolonged heavy rainfall.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27" type="#_x0000_t202" style="position:absolute;margin-left:7.5pt;margin-top:161.25pt;width:441.75pt;height:113.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">
                <v:textbox>
                  <w:txbxContent>
                    <w:p w:rsidR="00DC48D0" w:rsidRPr="00DC48D0" w:rsidRDefault="00DC48D0" w:rsidP="00DC48D0">
                      <w:pPr>
                        <w:shd w:val="clear" w:color="auto" w:fill="D6E3BC" w:themeFill="accent3" w:themeFillTint="66"/>
                        <w:autoSpaceDE w:val="0"/>
                        <w:autoSpaceDN w:val="0"/>
                        <w:adjustRightInd w:val="0"/>
                        <w:spacing w:after="0" w:line="240" w:lineRule="auto"/>
                        <w:rPr>
                          <w:rFonts w:ascii="Arial" w:hAnsi="Arial" w:cs="Arial"/>
                          <w:sz w:val="28"/>
                          <w:szCs w:val="28"/>
                        </w:rPr>
                      </w:pPr>
                      <w:r w:rsidRPr="00DC48D0">
                        <w:rPr>
                          <w:rFonts w:ascii="Arial" w:hAnsi="Arial" w:cs="Arial"/>
                          <w:sz w:val="28"/>
                          <w:szCs w:val="28"/>
                        </w:rPr>
                        <w:t>Do not supplementary feed in native woodland except during</w:t>
                      </w:r>
                    </w:p>
                    <w:p w:rsidR="00DC48D0" w:rsidRPr="00DC48D0" w:rsidRDefault="00DC48D0" w:rsidP="00DC48D0">
                      <w:pPr>
                        <w:shd w:val="clear" w:color="auto" w:fill="D6E3BC" w:themeFill="accent3" w:themeFillTint="66"/>
                        <w:autoSpaceDE w:val="0"/>
                        <w:autoSpaceDN w:val="0"/>
                        <w:adjustRightInd w:val="0"/>
                        <w:spacing w:after="0" w:line="240" w:lineRule="auto"/>
                        <w:rPr>
                          <w:rFonts w:ascii="Arial" w:hAnsi="Arial" w:cs="Arial"/>
                          <w:sz w:val="28"/>
                          <w:szCs w:val="28"/>
                        </w:rPr>
                      </w:pPr>
                      <w:r w:rsidRPr="00DC48D0">
                        <w:rPr>
                          <w:rFonts w:ascii="Arial" w:hAnsi="Arial" w:cs="Arial"/>
                          <w:sz w:val="28"/>
                          <w:szCs w:val="28"/>
                        </w:rPr>
                        <w:t>periods of extreme weather, where access to forage is severely restrict</w:t>
                      </w:r>
                      <w:r w:rsidRPr="00DC48D0">
                        <w:rPr>
                          <w:rFonts w:ascii="Arial" w:hAnsi="Arial" w:cs="Arial"/>
                          <w:sz w:val="28"/>
                          <w:szCs w:val="28"/>
                        </w:rPr>
                        <w:t xml:space="preserve">ed and the welfare of livestock </w:t>
                      </w:r>
                      <w:r w:rsidRPr="00DC48D0">
                        <w:rPr>
                          <w:rFonts w:ascii="Arial" w:hAnsi="Arial" w:cs="Arial"/>
                          <w:sz w:val="28"/>
                          <w:szCs w:val="28"/>
                        </w:rPr>
                        <w:t>might otherwise be compromised. Extreme weather is defined as mo</w:t>
                      </w:r>
                      <w:r w:rsidRPr="00DC48D0">
                        <w:rPr>
                          <w:rFonts w:ascii="Arial" w:hAnsi="Arial" w:cs="Arial"/>
                          <w:sz w:val="28"/>
                          <w:szCs w:val="28"/>
                        </w:rPr>
                        <w:t xml:space="preserve">re than two consecutive days of </w:t>
                      </w:r>
                      <w:r w:rsidRPr="00DC48D0">
                        <w:rPr>
                          <w:rFonts w:ascii="Arial" w:hAnsi="Arial" w:cs="Arial"/>
                          <w:sz w:val="28"/>
                          <w:szCs w:val="28"/>
                        </w:rPr>
                        <w:t>snow cover or continuous hard frost, prolonged drought or prolonged heavy rainfall.</w:t>
                      </w:r>
                    </w:p>
                  </w:txbxContent>
                </v:textbox>
                <w10:wrap type="square"/>
              </v:shape>
            </w:pict>
          </mc:Fallback>
        </mc:AlternateContent>
      </w:r>
      <w:r w:rsidRPr="00DC48D0">
        <w:rPr>
          <w:b/>
          <w:noProof/>
          <w:lang w:eastAsia="en-GB"/>
        </w:rPr>
        <mc:AlternateContent>
          <mc:Choice Requires="wps">
            <w:drawing>
              <wp:anchor distT="45720" distB="45720" distL="114300" distR="114300" simplePos="0" relativeHeight="251657216" behindDoc="0" locked="0" layoutInCell="1" allowOverlap="1" wp14:anchorId="3A42B877" wp14:editId="2CAB7EE7">
                <wp:simplePos x="0" y="0"/>
                <wp:positionH relativeFrom="column">
                  <wp:posOffset>114300</wp:posOffset>
                </wp:positionH>
                <wp:positionV relativeFrom="paragraph">
                  <wp:posOffset>428625</wp:posOffset>
                </wp:positionV>
                <wp:extent cx="5600700" cy="15335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533525"/>
                        </a:xfrm>
                        <a:prstGeom prst="rect">
                          <a:avLst/>
                        </a:prstGeom>
                        <a:solidFill>
                          <a:srgbClr val="FFFFFF"/>
                        </a:solidFill>
                        <a:ln w="9525">
                          <a:solidFill>
                            <a:srgbClr val="000000"/>
                          </a:solidFill>
                          <a:miter lim="800000"/>
                          <a:headEnd/>
                          <a:tailEnd/>
                        </a:ln>
                      </wps:spPr>
                      <wps:txbx>
                        <w:txbxContent>
                          <w:p w:rsidR="00DC48D0" w:rsidRPr="00DC48D0" w:rsidRDefault="00DC48D0" w:rsidP="00DC48D0">
                            <w:pPr>
                              <w:shd w:val="clear" w:color="auto" w:fill="DBE5F1" w:themeFill="accent1" w:themeFillTint="33"/>
                              <w:autoSpaceDE w:val="0"/>
                              <w:autoSpaceDN w:val="0"/>
                              <w:adjustRightInd w:val="0"/>
                              <w:rPr>
                                <w:rFonts w:ascii="Arial" w:hAnsi="Arial" w:cs="Arial"/>
                                <w:sz w:val="28"/>
                                <w:szCs w:val="28"/>
                              </w:rPr>
                            </w:pPr>
                            <w:r w:rsidRPr="00DC48D0">
                              <w:rPr>
                                <w:rFonts w:ascii="Arial" w:hAnsi="Arial" w:cs="Arial"/>
                                <w:sz w:val="28"/>
                                <w:szCs w:val="28"/>
                              </w:rPr>
                              <w:t>Avoid overgrazing</w:t>
                            </w:r>
                            <w:r>
                              <w:rPr>
                                <w:rFonts w:ascii="Arial" w:hAnsi="Arial" w:cs="Arial"/>
                                <w:sz w:val="28"/>
                                <w:szCs w:val="28"/>
                              </w:rPr>
                              <w:t xml:space="preserve">. </w:t>
                            </w:r>
                            <w:r w:rsidRPr="00DC48D0">
                              <w:rPr>
                                <w:rFonts w:ascii="Arial" w:hAnsi="Arial" w:cs="Arial"/>
                                <w:sz w:val="28"/>
                                <w:szCs w:val="28"/>
                              </w:rPr>
                              <w:t>Maintain a minimum stocking rate of 0.05 livestock units (LUs) per hectare for a period of 4 months between 1 June and 30 September. Grazing livestock can include cattle, sheep and ponies but all stock must be acclimatised to the conditions of the moor. Sheep must consist of hardy native breeds and/or their crosses.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3A42B877" id="_x0000_s1028" type="#_x0000_t202" style="position:absolute;margin-left:9pt;margin-top:33.75pt;width:441pt;height:120.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">
                <v:textbox>
                  <w:txbxContent>
                    <w:p w:rsidR="00DC48D0" w:rsidRPr="00DC48D0" w:rsidRDefault="00DC48D0" w:rsidP="00DC48D0">
                      <w:pPr>
                        <w:shd w:val="clear" w:color="auto" w:fill="DBE5F1" w:themeFill="accent1" w:themeFillTint="33"/>
                        <w:autoSpaceDE w:val="0"/>
                        <w:autoSpaceDN w:val="0"/>
                        <w:adjustRightInd w:val="0"/>
                        <w:rPr>
                          <w:rFonts w:ascii="Arial" w:hAnsi="Arial" w:cs="Arial"/>
                          <w:sz w:val="28"/>
                          <w:szCs w:val="28"/>
                        </w:rPr>
                      </w:pPr>
                      <w:r w:rsidRPr="00DC48D0">
                        <w:rPr>
                          <w:rFonts w:ascii="Arial" w:hAnsi="Arial" w:cs="Arial"/>
                          <w:sz w:val="28"/>
                          <w:szCs w:val="28"/>
                        </w:rPr>
                        <w:t>Avoid overgrazing</w:t>
                      </w:r>
                      <w:r>
                        <w:rPr>
                          <w:rFonts w:ascii="Arial" w:hAnsi="Arial" w:cs="Arial"/>
                          <w:sz w:val="28"/>
                          <w:szCs w:val="28"/>
                        </w:rPr>
                        <w:t xml:space="preserve">. </w:t>
                      </w:r>
                      <w:r w:rsidRPr="00DC48D0">
                        <w:rPr>
                          <w:rFonts w:ascii="Arial" w:hAnsi="Arial" w:cs="Arial"/>
                          <w:sz w:val="28"/>
                          <w:szCs w:val="28"/>
                        </w:rPr>
                        <w:t>M</w:t>
                      </w:r>
                      <w:r w:rsidRPr="00DC48D0">
                        <w:rPr>
                          <w:rFonts w:ascii="Arial" w:hAnsi="Arial" w:cs="Arial"/>
                          <w:sz w:val="28"/>
                          <w:szCs w:val="28"/>
                        </w:rPr>
                        <w:t xml:space="preserve">aintain </w:t>
                      </w:r>
                      <w:r w:rsidRPr="00DC48D0">
                        <w:rPr>
                          <w:rFonts w:ascii="Arial" w:hAnsi="Arial" w:cs="Arial"/>
                          <w:sz w:val="28"/>
                          <w:szCs w:val="28"/>
                        </w:rPr>
                        <w:t xml:space="preserve">a minimum stocking rate of 0.05 </w:t>
                      </w:r>
                      <w:r w:rsidRPr="00DC48D0">
                        <w:rPr>
                          <w:rFonts w:ascii="Arial" w:hAnsi="Arial" w:cs="Arial"/>
                          <w:sz w:val="28"/>
                          <w:szCs w:val="28"/>
                        </w:rPr>
                        <w:t>livestock units (LUs) per hectare for a period of 4 months between 1</w:t>
                      </w:r>
                      <w:r w:rsidRPr="00DC48D0">
                        <w:rPr>
                          <w:rFonts w:ascii="Arial" w:hAnsi="Arial" w:cs="Arial"/>
                          <w:sz w:val="28"/>
                          <w:szCs w:val="28"/>
                        </w:rPr>
                        <w:t xml:space="preserve"> June and 30 September. Grazing </w:t>
                      </w:r>
                      <w:r w:rsidRPr="00DC48D0">
                        <w:rPr>
                          <w:rFonts w:ascii="Arial" w:hAnsi="Arial" w:cs="Arial"/>
                          <w:sz w:val="28"/>
                          <w:szCs w:val="28"/>
                        </w:rPr>
                        <w:t>livestock can include cattle, sheep and ponies but all stock must be ac</w:t>
                      </w:r>
                      <w:r w:rsidRPr="00DC48D0">
                        <w:rPr>
                          <w:rFonts w:ascii="Arial" w:hAnsi="Arial" w:cs="Arial"/>
                          <w:sz w:val="28"/>
                          <w:szCs w:val="28"/>
                        </w:rPr>
                        <w:t xml:space="preserve">climatised to the conditions of </w:t>
                      </w:r>
                      <w:r w:rsidRPr="00DC48D0">
                        <w:rPr>
                          <w:rFonts w:ascii="Arial" w:hAnsi="Arial" w:cs="Arial"/>
                          <w:sz w:val="28"/>
                          <w:szCs w:val="28"/>
                        </w:rPr>
                        <w:t>the moor. Sheep must consist of hardy native breeds and/or their crosses.</w:t>
                      </w:r>
                    </w:p>
                  </w:txbxContent>
                </v:textbox>
                <w10:wrap type="square"/>
              </v:shape>
            </w:pict>
          </mc:Fallback>
        </mc:AlternateContent>
      </w:r>
      <w:r w:rsidRPr="00DC48D0">
        <w:rPr>
          <w:b/>
          <w:sz w:val="28"/>
          <w:szCs w:val="28"/>
        </w:rPr>
        <w:t>Management strategies</w:t>
      </w:r>
    </w:p>
    <w:tbl>
      <w:tblPr>
        <w:tblStyle w:val="TableGrid"/>
        <w:tblW w:w="9616" w:type="dxa"/>
        <w:tblLook w:val="04A0" w:firstRow="1" w:lastRow="0" w:firstColumn="1" w:lastColumn="0" w:noHBand="0" w:noVBand="1"/>
      </w:tblPr>
      <w:tblGrid>
        <w:gridCol w:w="3204"/>
        <w:gridCol w:w="3206"/>
        <w:gridCol w:w="3206"/>
      </w:tblGrid>
      <w:tr w:rsidR="00DC48D0" w:rsidTr="00DC48D0">
        <w:trPr>
          <w:trHeight w:val="458"/>
        </w:trPr>
        <w:tc>
          <w:tcPr>
            <w:tcW w:w="3204" w:type="dxa"/>
          </w:tcPr>
          <w:p w:rsidR="00DC48D0" w:rsidRPr="00DC48D0" w:rsidRDefault="00DC48D0" w:rsidP="00DC48D0">
            <w:pPr>
              <w:rPr>
                <w:rFonts w:ascii="Arial" w:hAnsi="Arial" w:cs="Arial"/>
                <w:b/>
                <w:sz w:val="28"/>
                <w:szCs w:val="28"/>
              </w:rPr>
            </w:pPr>
            <w:r w:rsidRPr="00DC48D0">
              <w:rPr>
                <w:rFonts w:ascii="Arial" w:hAnsi="Arial" w:cs="Arial"/>
                <w:b/>
                <w:sz w:val="28"/>
                <w:szCs w:val="28"/>
              </w:rPr>
              <w:t>Method</w:t>
            </w:r>
          </w:p>
        </w:tc>
        <w:tc>
          <w:tcPr>
            <w:tcW w:w="3206" w:type="dxa"/>
          </w:tcPr>
          <w:p w:rsidR="00DC48D0" w:rsidRPr="00DC48D0" w:rsidRDefault="00DC48D0" w:rsidP="00DC48D0">
            <w:pPr>
              <w:rPr>
                <w:rFonts w:ascii="Arial" w:hAnsi="Arial" w:cs="Arial"/>
                <w:b/>
                <w:sz w:val="28"/>
                <w:szCs w:val="28"/>
              </w:rPr>
            </w:pPr>
            <w:r w:rsidRPr="00DC48D0">
              <w:rPr>
                <w:rFonts w:ascii="Arial" w:hAnsi="Arial" w:cs="Arial"/>
                <w:b/>
                <w:sz w:val="28"/>
                <w:szCs w:val="28"/>
              </w:rPr>
              <w:t>Advantages</w:t>
            </w:r>
          </w:p>
        </w:tc>
        <w:tc>
          <w:tcPr>
            <w:tcW w:w="3206" w:type="dxa"/>
          </w:tcPr>
          <w:p w:rsidR="00DC48D0" w:rsidRPr="00DC48D0" w:rsidRDefault="00DC48D0" w:rsidP="00DC48D0">
            <w:pPr>
              <w:rPr>
                <w:rFonts w:ascii="Arial" w:hAnsi="Arial" w:cs="Arial"/>
                <w:b/>
                <w:sz w:val="28"/>
                <w:szCs w:val="28"/>
              </w:rPr>
            </w:pPr>
            <w:r w:rsidRPr="00DC48D0">
              <w:rPr>
                <w:rFonts w:ascii="Arial" w:hAnsi="Arial" w:cs="Arial"/>
                <w:b/>
                <w:sz w:val="28"/>
                <w:szCs w:val="28"/>
              </w:rPr>
              <w:t>Disadvantages</w:t>
            </w:r>
          </w:p>
        </w:tc>
      </w:tr>
      <w:tr w:rsidR="00DC48D0" w:rsidTr="00DC48D0">
        <w:trPr>
          <w:trHeight w:val="1394"/>
        </w:trPr>
        <w:tc>
          <w:tcPr>
            <w:tcW w:w="3204" w:type="dxa"/>
          </w:tcPr>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tc>
        <w:tc>
          <w:tcPr>
            <w:tcW w:w="3206" w:type="dxa"/>
          </w:tcPr>
          <w:p w:rsidR="00DC48D0" w:rsidRDefault="00DC48D0" w:rsidP="00DC48D0">
            <w:pPr>
              <w:rPr>
                <w:b/>
              </w:rPr>
            </w:pPr>
          </w:p>
        </w:tc>
        <w:tc>
          <w:tcPr>
            <w:tcW w:w="3206" w:type="dxa"/>
          </w:tcPr>
          <w:p w:rsidR="00DC48D0" w:rsidRDefault="00DC48D0" w:rsidP="00DC48D0">
            <w:pPr>
              <w:rPr>
                <w:b/>
              </w:rPr>
            </w:pPr>
          </w:p>
        </w:tc>
      </w:tr>
      <w:tr w:rsidR="00DC48D0" w:rsidTr="00DC48D0">
        <w:trPr>
          <w:trHeight w:val="1476"/>
        </w:trPr>
        <w:tc>
          <w:tcPr>
            <w:tcW w:w="3204" w:type="dxa"/>
          </w:tcPr>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tc>
        <w:tc>
          <w:tcPr>
            <w:tcW w:w="3206" w:type="dxa"/>
          </w:tcPr>
          <w:p w:rsidR="00DC48D0" w:rsidRDefault="00DC48D0" w:rsidP="00DC48D0">
            <w:pPr>
              <w:rPr>
                <w:b/>
              </w:rPr>
            </w:pPr>
          </w:p>
        </w:tc>
        <w:tc>
          <w:tcPr>
            <w:tcW w:w="3206" w:type="dxa"/>
          </w:tcPr>
          <w:p w:rsidR="00DC48D0" w:rsidRDefault="00DC48D0" w:rsidP="00DC48D0">
            <w:pPr>
              <w:rPr>
                <w:b/>
              </w:rPr>
            </w:pPr>
          </w:p>
        </w:tc>
      </w:tr>
      <w:tr w:rsidR="00DC48D0" w:rsidTr="00DC48D0">
        <w:trPr>
          <w:trHeight w:val="1394"/>
        </w:trPr>
        <w:tc>
          <w:tcPr>
            <w:tcW w:w="3204" w:type="dxa"/>
          </w:tcPr>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p w:rsidR="00DC48D0" w:rsidRDefault="00DC48D0" w:rsidP="00DC48D0">
            <w:pPr>
              <w:rPr>
                <w:b/>
              </w:rPr>
            </w:pPr>
          </w:p>
        </w:tc>
        <w:tc>
          <w:tcPr>
            <w:tcW w:w="3206" w:type="dxa"/>
          </w:tcPr>
          <w:p w:rsidR="00DC48D0" w:rsidRDefault="00DC48D0" w:rsidP="00DC48D0">
            <w:pPr>
              <w:rPr>
                <w:b/>
              </w:rPr>
            </w:pPr>
          </w:p>
        </w:tc>
        <w:tc>
          <w:tcPr>
            <w:tcW w:w="3206" w:type="dxa"/>
          </w:tcPr>
          <w:p w:rsidR="00DC48D0" w:rsidRDefault="00DC48D0" w:rsidP="00DC48D0">
            <w:pPr>
              <w:rPr>
                <w:b/>
              </w:rPr>
            </w:pPr>
          </w:p>
        </w:tc>
      </w:tr>
    </w:tbl>
    <w:p w:rsidR="00DC48D0" w:rsidRPr="00DC48D0" w:rsidRDefault="00DC48D0" w:rsidP="00DC48D0">
      <w:pPr>
        <w:rPr>
          <w:b/>
        </w:rPr>
      </w:pPr>
    </w:p>
    <w:sectPr w:rsidR="00DC48D0" w:rsidRPr="00DC48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2055F"/>
    <w:multiLevelType w:val="hybridMultilevel"/>
    <w:tmpl w:val="34CCF3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100CF0"/>
    <w:multiLevelType w:val="hybridMultilevel"/>
    <w:tmpl w:val="F55EC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8D0"/>
    <w:rsid w:val="000219C3"/>
    <w:rsid w:val="00361EF7"/>
    <w:rsid w:val="008436BC"/>
    <w:rsid w:val="00DC4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03672-0FA2-4103-8718-FC90EE63B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8D0"/>
    <w:pPr>
      <w:spacing w:after="0" w:line="240" w:lineRule="auto"/>
      <w:ind w:left="720"/>
      <w:contextualSpacing/>
    </w:pPr>
    <w:rPr>
      <w:sz w:val="24"/>
      <w:szCs w:val="24"/>
    </w:rPr>
  </w:style>
  <w:style w:type="table" w:styleId="TableGrid">
    <w:name w:val="Table Grid"/>
    <w:basedOn w:val="TableNormal"/>
    <w:uiPriority w:val="59"/>
    <w:rsid w:val="00DC4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Words>
  <Characters>77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RM</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Howard</dc:creator>
  <cp:keywords/>
  <dc:description/>
  <cp:lastModifiedBy>Helen Beardmore</cp:lastModifiedBy>
  <cp:revision>2</cp:revision>
  <dcterms:created xsi:type="dcterms:W3CDTF">2020-03-13T09:50:00Z</dcterms:created>
  <dcterms:modified xsi:type="dcterms:W3CDTF">2020-11-12T11:24:00Z</dcterms:modified>
</cp:coreProperties>
</file>